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REQUERIMENTO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AVERBAÇÃO </w:t>
      </w:r>
      <w:r w:rsidR="00E57E3C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DE LOCALIZAÇÃO DE PENHOR 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ILUSTRÍSSIMO</w:t>
      </w: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SENHOR OFICIAL DE REGISTRO DE IMÓVEIS DA COMARCA DE </w:t>
      </w: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ALFENAS-MG</w:t>
      </w:r>
    </w:p>
    <w:p w:rsidR="00E57E3C" w:rsidRDefault="00E57E3C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E57E3C" w:rsidRPr="00BF4C45" w:rsidRDefault="00C6443D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Fulano de Tal,</w:t>
      </w:r>
      <w:r w:rsidR="00E57E3C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casado, agricultor, residente e domiciliado 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no Sítio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Tal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, Alfenas- MG</w:t>
      </w:r>
      <w:r w:rsidR="00E57E3C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, c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arteira de identidade número M-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0000000</w:t>
      </w:r>
      <w:r w:rsidR="00E57E3C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, emitido por SSP MG em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DD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/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MM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/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AAAA</w:t>
      </w:r>
      <w:r w:rsidR="00E57E3C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, inscrito no </w:t>
      </w:r>
      <w:r w:rsidR="00BF4C45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CPF número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000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.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000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.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000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-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00</w:t>
      </w:r>
      <w:r w:rsidR="00BF4C45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. Por meio do presente, requeiro a Vossa senhoria que seja averbado junto à matrícula </w:t>
      </w:r>
      <w:r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XX</w:t>
      </w:r>
      <w:r w:rsidR="00283D72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.</w:t>
      </w:r>
      <w:r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00</w:t>
      </w:r>
      <w:r w:rsidR="00283D72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0</w:t>
      </w:r>
      <w:r w:rsidR="00BF4C45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 xml:space="preserve"> </w:t>
      </w:r>
      <w:r w:rsidR="00BF4C45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a localização da garantia pignoratícia registrada no Livro 03 desta serventia referente à cédula Rural Pignoratícia de número 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40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/0000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-4</w:t>
      </w:r>
      <w:r w:rsidR="004D01C5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.</w:t>
      </w:r>
    </w:p>
    <w:p w:rsidR="00E57E3C" w:rsidRDefault="00E57E3C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Nestes termos,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Pede deferimento.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Alfenas, </w:t>
      </w:r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31</w:t>
      </w: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de </w:t>
      </w:r>
      <w:proofErr w:type="gramStart"/>
      <w:r w:rsidR="00283D72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Agosto</w:t>
      </w:r>
      <w:proofErr w:type="gramEnd"/>
      <w:r w:rsidR="004D01C5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de 2016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8126AE" w:rsidRDefault="008126AE" w:rsidP="008126AE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_______________________________</w:t>
      </w:r>
    </w:p>
    <w:p w:rsidR="008126AE" w:rsidRPr="00543A5F" w:rsidRDefault="00C6443D" w:rsidP="00C6443D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Fulano de tal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C6443D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u w:val="single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  <w:bookmarkStart w:id="0" w:name="_GoBack"/>
      <w:bookmarkEnd w:id="0"/>
    </w:p>
    <w:p w:rsidR="00984AE4" w:rsidRDefault="00984AE4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</w:p>
    <w:p w:rsidR="00984AE4" w:rsidRDefault="00984AE4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</w:p>
    <w:p w:rsidR="008126AE" w:rsidRDefault="008126AE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b/>
          <w:color w:val="000000"/>
          <w:sz w:val="16"/>
          <w:szCs w:val="16"/>
          <w:lang w:eastAsia="pt-BR"/>
        </w:rPr>
      </w:pPr>
    </w:p>
    <w:p w:rsidR="00543A5F" w:rsidRPr="00984AE4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b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b/>
          <w:color w:val="000000"/>
          <w:sz w:val="16"/>
          <w:szCs w:val="16"/>
          <w:lang w:eastAsia="pt-BR"/>
        </w:rPr>
        <w:t>OBS:</w:t>
      </w:r>
    </w:p>
    <w:p w:rsidR="00740AA6" w:rsidRPr="00984AE4" w:rsidRDefault="00740AA6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O registro das cédulas que constituam penhor rural, industrial ou mercantil far-se-á no Livro 03 para em seguida proceder-se à averbação do imóvel de localização dos bens dados em garantia no livro 02, devendo ser feita a devida anotação no Livro 04.</w:t>
      </w:r>
    </w:p>
    <w:p w:rsidR="00543A5F" w:rsidRPr="00984AE4" w:rsidRDefault="004D01C5" w:rsidP="00740AA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 xml:space="preserve">O Artigo 14, V. do Decreto 167/67 dispõe que “descrição dos bens vinculados em penhor, que se indicarão pela espécie, qualidade, marca ou período de produção, se for o caso, </w:t>
      </w:r>
      <w:r w:rsidRPr="00984AE4">
        <w:rPr>
          <w:rFonts w:ascii="Utsaah" w:eastAsia="Times New Roman" w:hAnsi="Utsaah" w:cs="Utsaah"/>
          <w:i/>
          <w:color w:val="000000"/>
          <w:sz w:val="16"/>
          <w:szCs w:val="16"/>
          <w:u w:val="single"/>
          <w:lang w:eastAsia="pt-BR"/>
        </w:rPr>
        <w:t>além do local ou depósito em que os mesmos se encontrarem</w:t>
      </w: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”.</w:t>
      </w:r>
    </w:p>
    <w:p w:rsidR="00740AA6" w:rsidRPr="00984AE4" w:rsidRDefault="00740AA6" w:rsidP="00740AA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Os artigos 870, parágrafo 2º e o artigo 735 do código de Normas expressamente determinam a anotação no Livro 4 (Indicador Real): Art. 870: Serão registrados no Livro nº03 – Registro Auxiliar (..) 2º O registro das cédulas que constituam exclusivamente penhor rural</w:t>
      </w:r>
      <w:r w:rsidR="00CB35DE"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 xml:space="preserve">, industrial ou mercantil, realizado no Livro nº3 – Registro Auxiliar, mencionará expressamente o imóvel de </w:t>
      </w:r>
      <w:proofErr w:type="spellStart"/>
      <w:r w:rsidR="00CB35DE"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localçização</w:t>
      </w:r>
      <w:proofErr w:type="spellEnd"/>
      <w:r w:rsidR="00CB35DE"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 xml:space="preserve"> dos bens dados em garantia . devendo ser feita a devida anotação no Livro nº4 – Indicador Real.” Como o Livro nº 4 é “o repositório das indicações de todos os imóveis que figurem no Livro 02...”, não há como proceder à anotação no indicador real (Livro 4) sem que tenha sido praticada a averbação do imóvel de localização no Livro nº02. Vê-se que um é consequência do outro.</w:t>
      </w:r>
    </w:p>
    <w:p w:rsidR="00CB35DE" w:rsidRPr="00984AE4" w:rsidRDefault="00984AE4" w:rsidP="00740AA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Observância aos princípios da concentração e da publicidade;</w:t>
      </w:r>
    </w:p>
    <w:p w:rsidR="00984AE4" w:rsidRPr="00984AE4" w:rsidRDefault="00984AE4" w:rsidP="00740AA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16"/>
          <w:szCs w:val="16"/>
          <w:lang w:eastAsia="pt-BR"/>
        </w:rPr>
      </w:pPr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 xml:space="preserve">A averbação é efetuada para surtir efeitos perante terceiros, </w:t>
      </w:r>
      <w:proofErr w:type="spellStart"/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>art</w:t>
      </w:r>
      <w:proofErr w:type="spellEnd"/>
      <w:r w:rsidRPr="00984AE4">
        <w:rPr>
          <w:rFonts w:ascii="Utsaah" w:eastAsia="Times New Roman" w:hAnsi="Utsaah" w:cs="Utsaah"/>
          <w:color w:val="000000"/>
          <w:sz w:val="16"/>
          <w:szCs w:val="16"/>
          <w:lang w:eastAsia="pt-BR"/>
        </w:rPr>
        <w:t xml:space="preserve"> 30 do Decreto 167/67 e Artigo 12 da Lei 8.929/94.</w:t>
      </w:r>
    </w:p>
    <w:sectPr w:rsidR="00984AE4" w:rsidRPr="00984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95326"/>
    <w:multiLevelType w:val="hybridMultilevel"/>
    <w:tmpl w:val="82184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5F"/>
    <w:rsid w:val="00283D72"/>
    <w:rsid w:val="004D01C5"/>
    <w:rsid w:val="00543A5F"/>
    <w:rsid w:val="00740AA6"/>
    <w:rsid w:val="008126AE"/>
    <w:rsid w:val="00984AE4"/>
    <w:rsid w:val="00BF4C45"/>
    <w:rsid w:val="00C6443D"/>
    <w:rsid w:val="00CB35DE"/>
    <w:rsid w:val="00DD6509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23FD"/>
  <w15:docId w15:val="{2480C555-D6DE-4F41-8625-D12C10F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4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Cristofer</dc:creator>
  <cp:lastModifiedBy>Thalita Bastos</cp:lastModifiedBy>
  <cp:revision>3</cp:revision>
  <dcterms:created xsi:type="dcterms:W3CDTF">2016-08-31T16:52:00Z</dcterms:created>
  <dcterms:modified xsi:type="dcterms:W3CDTF">2019-02-22T18:23:00Z</dcterms:modified>
</cp:coreProperties>
</file>